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C2B5" w14:textId="77777777" w:rsidR="0021423D" w:rsidRDefault="0021423D">
      <w:pPr>
        <w:spacing w:after="160"/>
        <w:jc w:val="center"/>
        <w:rPr>
          <w:rFonts w:ascii="Arial" w:eastAsia="Arial" w:hAnsi="Arial" w:cs="Arial"/>
          <w:b/>
          <w:bCs/>
        </w:rPr>
      </w:pPr>
    </w:p>
    <w:p w14:paraId="5A0C71DE" w14:textId="77777777" w:rsidR="0021423D" w:rsidRDefault="00A070B5">
      <w:pPr>
        <w:spacing w:after="160"/>
        <w:jc w:val="center"/>
      </w:pPr>
      <w:r>
        <w:rPr>
          <w:rFonts w:ascii="Arial" w:eastAsia="Arial" w:hAnsi="Arial" w:cs="Arial"/>
          <w:b/>
          <w:bCs/>
        </w:rPr>
        <w:t xml:space="preserve">Stellantis plans to acquire stake in </w:t>
      </w:r>
      <w:proofErr w:type="spellStart"/>
      <w:r>
        <w:rPr>
          <w:rFonts w:ascii="Arial" w:eastAsia="Arial" w:hAnsi="Arial" w:cs="Arial"/>
          <w:b/>
          <w:bCs/>
        </w:rPr>
        <w:t>Symbio</w:t>
      </w:r>
      <w:proofErr w:type="spellEnd"/>
      <w:r>
        <w:rPr>
          <w:rFonts w:ascii="Arial" w:eastAsia="Arial" w:hAnsi="Arial" w:cs="Arial"/>
          <w:b/>
          <w:bCs/>
        </w:rPr>
        <w:t>, a Faurecia Michelin hydrogen company and leader in fuel cell technologies for mobility industry</w:t>
      </w:r>
    </w:p>
    <w:p w14:paraId="2A7942DE" w14:textId="49357C3C" w:rsidR="0021423D" w:rsidRDefault="00A070B5" w:rsidP="00C96E53">
      <w:pPr>
        <w:spacing w:line="240" w:lineRule="auto"/>
        <w:jc w:val="both"/>
        <w:rPr>
          <w:rFonts w:ascii="Arial" w:eastAsia="Arial" w:hAnsi="Arial" w:cs="Arial"/>
        </w:rPr>
      </w:pPr>
      <w:r>
        <w:rPr>
          <w:rFonts w:ascii="Arial" w:eastAsia="Arial" w:hAnsi="Arial" w:cs="Arial"/>
        </w:rPr>
        <w:t xml:space="preserve">December 23, 2022 </w:t>
      </w:r>
    </w:p>
    <w:p w14:paraId="23EBD720" w14:textId="77777777" w:rsidR="00C96E53" w:rsidRDefault="00C96E53" w:rsidP="00C96E53">
      <w:pPr>
        <w:spacing w:line="240" w:lineRule="auto"/>
        <w:jc w:val="both"/>
      </w:pPr>
    </w:p>
    <w:p w14:paraId="090703BC" w14:textId="29A8AB7C" w:rsidR="0021423D" w:rsidRDefault="00A070B5" w:rsidP="00C96E53">
      <w:pPr>
        <w:spacing w:line="240" w:lineRule="auto"/>
        <w:jc w:val="both"/>
        <w:rPr>
          <w:rFonts w:ascii="Arial" w:eastAsia="Arial" w:hAnsi="Arial" w:cs="Arial"/>
        </w:rPr>
      </w:pPr>
      <w:r>
        <w:rPr>
          <w:rFonts w:ascii="Arial" w:eastAsia="Arial" w:hAnsi="Arial" w:cs="Arial"/>
        </w:rPr>
        <w:t xml:space="preserve">Faurecia, </w:t>
      </w:r>
      <w:r w:rsidR="00573106">
        <w:rPr>
          <w:rFonts w:ascii="Arial" w:eastAsia="Arial" w:hAnsi="Arial" w:cs="Arial"/>
        </w:rPr>
        <w:t xml:space="preserve">a </w:t>
      </w:r>
      <w:r w:rsidR="001508DF">
        <w:rPr>
          <w:rFonts w:ascii="Arial" w:eastAsia="Arial" w:hAnsi="Arial" w:cs="Arial"/>
        </w:rPr>
        <w:t xml:space="preserve">company of the </w:t>
      </w:r>
      <w:r w:rsidR="001E6641">
        <w:rPr>
          <w:rFonts w:ascii="Arial" w:eastAsia="Arial" w:hAnsi="Arial" w:cs="Arial"/>
        </w:rPr>
        <w:t xml:space="preserve">Group </w:t>
      </w:r>
      <w:r w:rsidR="001508DF">
        <w:rPr>
          <w:rFonts w:ascii="Arial" w:eastAsia="Arial" w:hAnsi="Arial" w:cs="Arial"/>
        </w:rPr>
        <w:t xml:space="preserve">FORVIA, </w:t>
      </w:r>
      <w:r>
        <w:rPr>
          <w:rFonts w:ascii="Arial" w:eastAsia="Arial" w:hAnsi="Arial" w:cs="Arial"/>
        </w:rPr>
        <w:t xml:space="preserve">Michelin and Stellantis announced starting today exclusive negotiations for Stellantis to acquire a substantial stake in </w:t>
      </w:r>
      <w:hyperlink r:id="rId6" w:anchor="!" w:history="1">
        <w:proofErr w:type="spellStart"/>
        <w:r>
          <w:rPr>
            <w:rFonts w:ascii="Arial" w:eastAsia="Arial" w:hAnsi="Arial" w:cs="Arial"/>
            <w:color w:val="000000"/>
          </w:rPr>
          <w:t>Symbio</w:t>
        </w:r>
        <w:proofErr w:type="spellEnd"/>
      </w:hyperlink>
      <w:r>
        <w:rPr>
          <w:rFonts w:ascii="Arial" w:eastAsia="Arial" w:hAnsi="Arial" w:cs="Arial"/>
        </w:rPr>
        <w:t>, a leader in zero-emission hydrogen mobility, to become a significant player along with existing shareholders Faurecia and Michelin.</w:t>
      </w:r>
    </w:p>
    <w:p w14:paraId="46C78B1D" w14:textId="77777777" w:rsidR="00C96E53" w:rsidRDefault="00C96E53" w:rsidP="00C96E53">
      <w:pPr>
        <w:spacing w:line="240" w:lineRule="auto"/>
        <w:jc w:val="both"/>
      </w:pPr>
    </w:p>
    <w:p w14:paraId="6D2708E7" w14:textId="7030B3EB" w:rsidR="0021423D" w:rsidRDefault="00A070B5" w:rsidP="00C96E53">
      <w:pPr>
        <w:spacing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Symbio’s</w:t>
      </w:r>
      <w:proofErr w:type="spellEnd"/>
      <w:r>
        <w:rPr>
          <w:rFonts w:ascii="Arial" w:eastAsia="Arial" w:hAnsi="Arial" w:cs="Arial"/>
        </w:rPr>
        <w:t xml:space="preserve"> technical roadmap perfectly matches with Stellantis’ hydrogen roll-out plans in Europe and in the U.S.,” said Stellantis CEO Carlos Tavares.  “This move will foster the speed of development to bring low emission products to our customers, beyond traditional electric vehicles. We’re grateful to the teams at Faurecia, Michelin and </w:t>
      </w:r>
      <w:proofErr w:type="spellStart"/>
      <w:r>
        <w:rPr>
          <w:rFonts w:ascii="Arial" w:eastAsia="Arial" w:hAnsi="Arial" w:cs="Arial"/>
        </w:rPr>
        <w:t>Symbio</w:t>
      </w:r>
      <w:proofErr w:type="spellEnd"/>
      <w:r>
        <w:rPr>
          <w:rFonts w:ascii="Arial" w:eastAsia="Arial" w:hAnsi="Arial" w:cs="Arial"/>
        </w:rPr>
        <w:t xml:space="preserve"> for their commitment to innovation, excellence, and collaboration as we all work to achieve decarbonized mobility.”</w:t>
      </w:r>
    </w:p>
    <w:p w14:paraId="17733D27" w14:textId="77777777" w:rsidR="00C96E53" w:rsidRDefault="00C96E53" w:rsidP="00C96E53">
      <w:pPr>
        <w:spacing w:line="240" w:lineRule="auto"/>
        <w:jc w:val="both"/>
      </w:pPr>
    </w:p>
    <w:p w14:paraId="0D8D7C4F" w14:textId="3AFDC188" w:rsidR="0021423D" w:rsidRDefault="00A070B5" w:rsidP="00C96E53">
      <w:pPr>
        <w:spacing w:line="240" w:lineRule="auto"/>
        <w:jc w:val="both"/>
        <w:rPr>
          <w:rFonts w:ascii="Arial" w:eastAsia="Arial" w:hAnsi="Arial" w:cs="Arial"/>
        </w:rPr>
      </w:pPr>
      <w:r>
        <w:rPr>
          <w:rFonts w:ascii="Arial" w:eastAsia="Arial" w:hAnsi="Arial" w:cs="Arial"/>
        </w:rPr>
        <w:t xml:space="preserve">Stellantis is a pioneer and frontrunner in hydrogen mobility having launched mid-size vans in late 2021. The Company is pursuing an aggressive ambition as part of the </w:t>
      </w:r>
      <w:hyperlink r:id="rId7" w:history="1">
        <w:r>
          <w:rPr>
            <w:rFonts w:ascii="Arial" w:eastAsia="Arial" w:hAnsi="Arial" w:cs="Arial"/>
            <w:color w:val="000000"/>
            <w:u w:val="single" w:color="000000"/>
          </w:rPr>
          <w:t>Dare Forward 2030</w:t>
        </w:r>
      </w:hyperlink>
      <w:r>
        <w:rPr>
          <w:rFonts w:ascii="Arial" w:eastAsia="Arial" w:hAnsi="Arial" w:cs="Arial"/>
        </w:rPr>
        <w:t xml:space="preserve"> strategic plan, which includes expanding its hydrogen offering to large vans as early as 2024 in Europe and 2025 in the U.S. while further exploring opportunities for heavy-duty trucks.</w:t>
      </w:r>
    </w:p>
    <w:p w14:paraId="33F6595F" w14:textId="77777777" w:rsidR="00C96E53" w:rsidRDefault="00C96E53" w:rsidP="00C96E53">
      <w:pPr>
        <w:spacing w:line="240" w:lineRule="auto"/>
        <w:jc w:val="both"/>
      </w:pPr>
    </w:p>
    <w:p w14:paraId="07E695E1" w14:textId="0CB787AC" w:rsidR="0021423D" w:rsidRDefault="00A070B5" w:rsidP="00C96E53">
      <w:pPr>
        <w:shd w:val="clear" w:color="auto" w:fill="FFFFFF"/>
        <w:spacing w:line="240" w:lineRule="auto"/>
        <w:jc w:val="both"/>
        <w:rPr>
          <w:rFonts w:ascii="Arial" w:eastAsia="Arial" w:hAnsi="Arial" w:cs="Arial"/>
        </w:rPr>
      </w:pPr>
      <w:r>
        <w:rPr>
          <w:rFonts w:ascii="Arial" w:eastAsia="Arial" w:hAnsi="Arial" w:cs="Arial"/>
        </w:rPr>
        <w:t xml:space="preserve">“By the intention of acquiring a stake in </w:t>
      </w:r>
      <w:proofErr w:type="spellStart"/>
      <w:r>
        <w:rPr>
          <w:rFonts w:ascii="Arial" w:eastAsia="Arial" w:hAnsi="Arial" w:cs="Arial"/>
        </w:rPr>
        <w:t>Symbio</w:t>
      </w:r>
      <w:proofErr w:type="spellEnd"/>
      <w:r>
        <w:rPr>
          <w:rFonts w:ascii="Arial" w:eastAsia="Arial" w:hAnsi="Arial" w:cs="Arial"/>
        </w:rPr>
        <w:t>, Stellantis confirms the robustness of Michelin and Faurecia</w:t>
      </w:r>
      <w:r w:rsidR="00B257D7">
        <w:rPr>
          <w:rFonts w:ascii="Arial" w:eastAsia="Arial" w:hAnsi="Arial" w:cs="Arial"/>
        </w:rPr>
        <w:t>’</w:t>
      </w:r>
      <w:r>
        <w:rPr>
          <w:rFonts w:ascii="Arial" w:eastAsia="Arial" w:hAnsi="Arial" w:cs="Arial"/>
        </w:rPr>
        <w:t xml:space="preserve">s approach to creating a global leader in zero-emission mobility. The new setup will accelerate and globalize </w:t>
      </w:r>
      <w:proofErr w:type="spellStart"/>
      <w:r>
        <w:rPr>
          <w:rFonts w:ascii="Arial" w:eastAsia="Arial" w:hAnsi="Arial" w:cs="Arial"/>
        </w:rPr>
        <w:t>Symbio’s</w:t>
      </w:r>
      <w:proofErr w:type="spellEnd"/>
      <w:r>
        <w:rPr>
          <w:rFonts w:ascii="Arial" w:eastAsia="Arial" w:hAnsi="Arial" w:cs="Arial"/>
        </w:rPr>
        <w:t xml:space="preserve"> growth to the benefit of its customers,” declared Patrick Koller, CEO of Faurecia.</w:t>
      </w:r>
    </w:p>
    <w:p w14:paraId="09878DB4" w14:textId="77777777" w:rsidR="00C96E53" w:rsidRDefault="00C96E53" w:rsidP="00C96E53">
      <w:pPr>
        <w:shd w:val="clear" w:color="auto" w:fill="FFFFFF"/>
        <w:spacing w:line="240" w:lineRule="auto"/>
        <w:jc w:val="both"/>
      </w:pPr>
    </w:p>
    <w:p w14:paraId="34108E8A" w14:textId="4800CF34" w:rsidR="0021423D" w:rsidRDefault="00A070B5" w:rsidP="00C96E53">
      <w:pPr>
        <w:spacing w:line="240" w:lineRule="auto"/>
        <w:jc w:val="both"/>
        <w:rPr>
          <w:rFonts w:ascii="Arial" w:eastAsia="Arial" w:hAnsi="Arial" w:cs="Arial"/>
        </w:rPr>
      </w:pPr>
      <w:r>
        <w:rPr>
          <w:rFonts w:ascii="Arial" w:eastAsia="Arial" w:hAnsi="Arial" w:cs="Arial"/>
        </w:rPr>
        <w:t xml:space="preserve">Florent Menegaux, CEO of Michelin, said, “Michelin is convinced that hydrogen fuel cell technology will make an effective contribution to decarbonizing mobility and even beyond. This is what led Michelin to pioneer in this technology for more than 20 years. The arrival of Stellantis in </w:t>
      </w:r>
      <w:proofErr w:type="spellStart"/>
      <w:r>
        <w:rPr>
          <w:rFonts w:ascii="Arial" w:eastAsia="Arial" w:hAnsi="Arial" w:cs="Arial"/>
        </w:rPr>
        <w:t>Symbio</w:t>
      </w:r>
      <w:r w:rsidR="00B257D7">
        <w:rPr>
          <w:rFonts w:ascii="Arial" w:eastAsia="Arial" w:hAnsi="Arial" w:cs="Arial"/>
        </w:rPr>
        <w:t>’</w:t>
      </w:r>
      <w:r>
        <w:rPr>
          <w:rFonts w:ascii="Arial" w:eastAsia="Arial" w:hAnsi="Arial" w:cs="Arial"/>
        </w:rPr>
        <w:t>s</w:t>
      </w:r>
      <w:proofErr w:type="spellEnd"/>
      <w:r>
        <w:rPr>
          <w:rFonts w:ascii="Arial" w:eastAsia="Arial" w:hAnsi="Arial" w:cs="Arial"/>
        </w:rPr>
        <w:t xml:space="preserve"> capital would reinforce this conviction and would catalyze the tremendous industrial momentum we have built with Faurecia.</w:t>
      </w:r>
      <w:r w:rsidR="00B257D7">
        <w:rPr>
          <w:rFonts w:ascii="Arial" w:eastAsia="Arial" w:hAnsi="Arial" w:cs="Arial"/>
        </w:rPr>
        <w:t>”</w:t>
      </w:r>
    </w:p>
    <w:p w14:paraId="1CC051AB" w14:textId="77777777" w:rsidR="00C96E53" w:rsidRDefault="00C96E53" w:rsidP="00C96E53">
      <w:pPr>
        <w:spacing w:line="240" w:lineRule="auto"/>
        <w:jc w:val="both"/>
      </w:pPr>
    </w:p>
    <w:p w14:paraId="7A3907A4" w14:textId="6CA2CE91" w:rsidR="0021423D" w:rsidRDefault="00A070B5" w:rsidP="00C96E53">
      <w:pPr>
        <w:spacing w:line="240" w:lineRule="auto"/>
        <w:jc w:val="both"/>
        <w:rPr>
          <w:rFonts w:ascii="Arial" w:eastAsia="Arial" w:hAnsi="Arial" w:cs="Arial"/>
        </w:rPr>
      </w:pPr>
      <w:r>
        <w:rPr>
          <w:rFonts w:ascii="Arial" w:eastAsia="Arial" w:hAnsi="Arial" w:cs="Arial"/>
        </w:rPr>
        <w:t xml:space="preserve">In October 2022, </w:t>
      </w:r>
      <w:proofErr w:type="spellStart"/>
      <w:r>
        <w:rPr>
          <w:rFonts w:ascii="Arial" w:eastAsia="Arial" w:hAnsi="Arial" w:cs="Arial"/>
        </w:rPr>
        <w:t>Symbio</w:t>
      </w:r>
      <w:proofErr w:type="spellEnd"/>
      <w:r>
        <w:rPr>
          <w:rFonts w:ascii="Arial" w:eastAsia="Arial" w:hAnsi="Arial" w:cs="Arial"/>
        </w:rPr>
        <w:t xml:space="preserve"> announced its </w:t>
      </w:r>
      <w:proofErr w:type="spellStart"/>
      <w:r>
        <w:rPr>
          <w:rFonts w:ascii="Arial" w:eastAsia="Arial" w:hAnsi="Arial" w:cs="Arial"/>
        </w:rPr>
        <w:t>HyMotive</w:t>
      </w:r>
      <w:proofErr w:type="spellEnd"/>
      <w:r>
        <w:rPr>
          <w:rFonts w:ascii="Arial" w:eastAsia="Arial" w:hAnsi="Arial" w:cs="Arial"/>
        </w:rPr>
        <w:t xml:space="preserve"> project to accelerate its industrialization and disruptive innovation, which will increase its total production capacity in France to 100,000 systems per year by 2028 while generating 1,000 additional jobs.</w:t>
      </w:r>
      <w:r w:rsidR="00C96E53">
        <w:rPr>
          <w:rFonts w:ascii="Arial" w:eastAsia="Arial" w:hAnsi="Arial" w:cs="Arial"/>
        </w:rPr>
        <w:t xml:space="preserve"> </w:t>
      </w:r>
      <w:r>
        <w:rPr>
          <w:rFonts w:ascii="Arial" w:eastAsia="Arial" w:hAnsi="Arial" w:cs="Arial"/>
        </w:rPr>
        <w:t xml:space="preserve">This transaction enables </w:t>
      </w:r>
      <w:proofErr w:type="spellStart"/>
      <w:r>
        <w:rPr>
          <w:rFonts w:ascii="Arial" w:eastAsia="Arial" w:hAnsi="Arial" w:cs="Arial"/>
        </w:rPr>
        <w:t>Symbio</w:t>
      </w:r>
      <w:proofErr w:type="spellEnd"/>
      <w:r>
        <w:rPr>
          <w:rFonts w:ascii="Arial" w:eastAsia="Arial" w:hAnsi="Arial" w:cs="Arial"/>
        </w:rPr>
        <w:t xml:space="preserve"> to expand its development by capitalizing on Stellantis' leadership in the European and American automotive markets. </w:t>
      </w:r>
    </w:p>
    <w:p w14:paraId="298718B7" w14:textId="77777777" w:rsidR="00C96E53" w:rsidRDefault="00C96E53" w:rsidP="00C96E53">
      <w:pPr>
        <w:spacing w:line="240" w:lineRule="auto"/>
        <w:jc w:val="both"/>
      </w:pPr>
    </w:p>
    <w:p w14:paraId="78E711AA" w14:textId="3CDB80C5" w:rsidR="0021423D" w:rsidRDefault="00A070B5" w:rsidP="00C96E53">
      <w:pPr>
        <w:spacing w:line="240" w:lineRule="auto"/>
        <w:jc w:val="both"/>
        <w:rPr>
          <w:rFonts w:ascii="Arial" w:eastAsia="Arial" w:hAnsi="Arial" w:cs="Arial"/>
        </w:rPr>
      </w:pPr>
      <w:r>
        <w:rPr>
          <w:rFonts w:ascii="Arial" w:eastAsia="Arial" w:hAnsi="Arial" w:cs="Arial"/>
        </w:rPr>
        <w:t>The closing of the transaction is expected to occur in the first semester of 2023 and is subject to customary closing conditions, including regulatory approvals.</w:t>
      </w:r>
    </w:p>
    <w:p w14:paraId="4BE7D537" w14:textId="77777777" w:rsidR="00C96E53" w:rsidRDefault="00C96E53" w:rsidP="00C96E53">
      <w:pPr>
        <w:spacing w:line="240" w:lineRule="auto"/>
        <w:jc w:val="both"/>
      </w:pPr>
    </w:p>
    <w:p w14:paraId="539DA6F6" w14:textId="5CC2538C" w:rsidR="0021423D" w:rsidRDefault="00A070B5">
      <w:pPr>
        <w:spacing w:after="160"/>
        <w:jc w:val="center"/>
        <w:rPr>
          <w:rFonts w:ascii="Arial" w:eastAsia="Arial" w:hAnsi="Arial" w:cs="Arial"/>
        </w:rPr>
      </w:pPr>
      <w:r>
        <w:rPr>
          <w:rFonts w:ascii="Arial" w:eastAsia="Arial" w:hAnsi="Arial" w:cs="Arial"/>
        </w:rPr>
        <w:t># # #</w:t>
      </w:r>
    </w:p>
    <w:p w14:paraId="1E85CDD6" w14:textId="0E36415E" w:rsidR="00A070B5" w:rsidRDefault="00A070B5">
      <w:pPr>
        <w:spacing w:after="160"/>
        <w:jc w:val="center"/>
        <w:rPr>
          <w:rFonts w:ascii="Arial" w:eastAsia="Arial" w:hAnsi="Arial" w:cs="Arial"/>
        </w:rPr>
      </w:pPr>
    </w:p>
    <w:p w14:paraId="52767695" w14:textId="25B01E41" w:rsidR="00A070B5" w:rsidRDefault="00A070B5">
      <w:pPr>
        <w:spacing w:after="160"/>
        <w:jc w:val="center"/>
        <w:rPr>
          <w:rFonts w:ascii="Arial" w:eastAsia="Arial" w:hAnsi="Arial" w:cs="Arial"/>
        </w:rPr>
      </w:pPr>
    </w:p>
    <w:p w14:paraId="70855B35" w14:textId="4708F7EA" w:rsidR="00A070B5" w:rsidRDefault="00A070B5">
      <w:pPr>
        <w:spacing w:after="160"/>
        <w:jc w:val="center"/>
        <w:rPr>
          <w:rFonts w:ascii="Arial" w:eastAsia="Arial" w:hAnsi="Arial" w:cs="Arial"/>
        </w:rPr>
      </w:pPr>
    </w:p>
    <w:p w14:paraId="3E1BA8FF" w14:textId="462F0212" w:rsidR="00A070B5" w:rsidRDefault="00A070B5">
      <w:pPr>
        <w:spacing w:after="160"/>
        <w:jc w:val="center"/>
        <w:rPr>
          <w:rFonts w:ascii="Arial" w:eastAsia="Arial" w:hAnsi="Arial" w:cs="Arial"/>
        </w:rPr>
      </w:pPr>
    </w:p>
    <w:p w14:paraId="621AFD1D" w14:textId="77777777" w:rsidR="0021423D" w:rsidRDefault="00A070B5">
      <w:pPr>
        <w:spacing w:line="240" w:lineRule="auto"/>
        <w:jc w:val="both"/>
        <w:rPr>
          <w:sz w:val="18"/>
          <w:szCs w:val="18"/>
        </w:rPr>
      </w:pPr>
      <w:r>
        <w:rPr>
          <w:rFonts w:ascii="Arial" w:eastAsia="Arial" w:hAnsi="Arial" w:cs="Arial"/>
          <w:b/>
          <w:bCs/>
          <w:sz w:val="18"/>
          <w:szCs w:val="18"/>
        </w:rPr>
        <w:t xml:space="preserve">ABOUT </w:t>
      </w:r>
      <w:proofErr w:type="spellStart"/>
      <w:r>
        <w:rPr>
          <w:rFonts w:ascii="Arial" w:eastAsia="Arial" w:hAnsi="Arial" w:cs="Arial"/>
          <w:b/>
          <w:bCs/>
          <w:sz w:val="18"/>
          <w:szCs w:val="18"/>
        </w:rPr>
        <w:t>Symbio</w:t>
      </w:r>
      <w:proofErr w:type="spellEnd"/>
      <w:r>
        <w:rPr>
          <w:rFonts w:ascii="Arial" w:eastAsia="Arial" w:hAnsi="Arial" w:cs="Arial"/>
          <w:b/>
          <w:bCs/>
          <w:sz w:val="18"/>
          <w:szCs w:val="18"/>
        </w:rPr>
        <w:t>  </w:t>
      </w:r>
    </w:p>
    <w:p w14:paraId="406D21E5" w14:textId="77777777" w:rsidR="0021423D" w:rsidRDefault="00A070B5">
      <w:pPr>
        <w:spacing w:line="240" w:lineRule="auto"/>
        <w:jc w:val="both"/>
        <w:rPr>
          <w:sz w:val="18"/>
          <w:szCs w:val="18"/>
        </w:rPr>
      </w:pP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a Faurecia &amp; Michelin joint venture, is a leading innovative partner for mobility pioneers, with more than 30 years of experience and 6 million kilometers driven. A world reference in hydrogen fuel cell systems, </w:t>
      </w: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combines industrial leadership and innovation excellence with entrepreneurial agility to deliver zero-emission mobility. Whether on-road or off-road, from trucks, vans, buses to logistics equipment or passenger vehicles, its wide range of compact </w:t>
      </w:r>
      <w:proofErr w:type="spellStart"/>
      <w:r>
        <w:rPr>
          <w:rFonts w:ascii="Arial" w:eastAsia="Arial" w:hAnsi="Arial" w:cs="Arial"/>
          <w:i/>
          <w:iCs/>
          <w:sz w:val="18"/>
          <w:szCs w:val="18"/>
        </w:rPr>
        <w:t>StackPack</w:t>
      </w:r>
      <w:proofErr w:type="spellEnd"/>
      <w:r>
        <w:rPr>
          <w:rFonts w:ascii="Arial" w:eastAsia="Arial" w:hAnsi="Arial" w:cs="Arial"/>
          <w:i/>
          <w:iCs/>
          <w:sz w:val="18"/>
          <w:szCs w:val="18"/>
        </w:rPr>
        <w:t xml:space="preserve"> fuel cell systems meet all requirements for power, durability and range. </w:t>
      </w: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is a Stellantis partner in the deployment of the world's first hydrogen-powered light commercial vehicle program. </w:t>
      </w: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has nearly 600 employees committed to building a positive future, helping their customers accelerate the deployment of a clean mobility that respects our environment, our air and our health, without compromising on performance. </w:t>
      </w:r>
      <w:proofErr w:type="spellStart"/>
      <w:r>
        <w:rPr>
          <w:rFonts w:ascii="Arial" w:eastAsia="Arial" w:hAnsi="Arial" w:cs="Arial"/>
          <w:i/>
          <w:iCs/>
          <w:sz w:val="18"/>
          <w:szCs w:val="18"/>
        </w:rPr>
        <w:t>Symbio’s</w:t>
      </w:r>
      <w:proofErr w:type="spellEnd"/>
      <w:r>
        <w:rPr>
          <w:rFonts w:ascii="Arial" w:eastAsia="Arial" w:hAnsi="Arial" w:cs="Arial"/>
          <w:i/>
          <w:iCs/>
          <w:sz w:val="18"/>
          <w:szCs w:val="18"/>
        </w:rPr>
        <w:t xml:space="preserve"> H2Motive range covers all power and durability needs with single- and multi-stack systems engineered with the associated power management systems, electronic control units, cooling, air, and hydrogen loops that generate and control the electrical power. </w:t>
      </w:r>
      <w:r>
        <w:rPr>
          <w:rFonts w:ascii="Arial" w:eastAsia="Arial" w:hAnsi="Arial" w:cs="Arial"/>
          <w:color w:val="0000FF"/>
          <w:sz w:val="18"/>
          <w:szCs w:val="18"/>
          <w:u w:val="single" w:color="0000FF"/>
        </w:rPr>
        <w:t>www.symbio.one</w:t>
      </w:r>
    </w:p>
    <w:p w14:paraId="35BA184C" w14:textId="77777777" w:rsidR="0021423D" w:rsidRDefault="0021423D">
      <w:pPr>
        <w:spacing w:line="240" w:lineRule="auto"/>
        <w:jc w:val="both"/>
        <w:rPr>
          <w:rFonts w:ascii="Arial" w:eastAsia="Arial" w:hAnsi="Arial" w:cs="Arial"/>
          <w:b/>
          <w:bCs/>
          <w:sz w:val="18"/>
          <w:szCs w:val="18"/>
        </w:rPr>
      </w:pPr>
    </w:p>
    <w:p w14:paraId="3F42E7BD" w14:textId="77777777" w:rsidR="0021423D" w:rsidRDefault="00A070B5">
      <w:pPr>
        <w:spacing w:line="240" w:lineRule="auto"/>
        <w:jc w:val="both"/>
        <w:rPr>
          <w:sz w:val="18"/>
          <w:szCs w:val="18"/>
        </w:rPr>
      </w:pPr>
      <w:r>
        <w:rPr>
          <w:rFonts w:ascii="Arial" w:eastAsia="Arial" w:hAnsi="Arial" w:cs="Arial"/>
          <w:b/>
          <w:bCs/>
          <w:sz w:val="18"/>
          <w:szCs w:val="18"/>
        </w:rPr>
        <w:t>About Stellantis</w:t>
      </w:r>
    </w:p>
    <w:p w14:paraId="04C1061F" w14:textId="77777777" w:rsidR="0021423D" w:rsidRDefault="00A070B5">
      <w:pPr>
        <w:spacing w:line="240" w:lineRule="auto"/>
        <w:jc w:val="both"/>
      </w:pPr>
      <w:bookmarkStart w:id="0" w:name="_Hlk104023212"/>
      <w:r>
        <w:rPr>
          <w:rFonts w:ascii="Arial" w:eastAsia="Arial" w:hAnsi="Arial" w:cs="Arial"/>
          <w:i/>
          <w:iCs/>
          <w:sz w:val="18"/>
          <w:szCs w:val="18"/>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Pr>
          <w:rFonts w:ascii="Arial" w:eastAsia="Arial" w:hAnsi="Arial" w:cs="Arial"/>
          <w:i/>
          <w:iCs/>
          <w:sz w:val="18"/>
          <w:szCs w:val="18"/>
        </w:rPr>
        <w:t>Leasys</w:t>
      </w:r>
      <w:proofErr w:type="spellEnd"/>
      <w:r>
        <w:rPr>
          <w:rFonts w:ascii="Arial" w:eastAsia="Arial" w:hAnsi="Arial" w:cs="Arial"/>
          <w:i/>
          <w:iCs/>
          <w:sz w:val="18"/>
          <w:szCs w:val="18"/>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8" w:history="1">
        <w:r>
          <w:rPr>
            <w:rFonts w:ascii="Arial" w:eastAsia="Arial" w:hAnsi="Arial" w:cs="Arial"/>
            <w:i/>
            <w:iCs/>
            <w:color w:val="0000FF"/>
            <w:sz w:val="18"/>
            <w:szCs w:val="18"/>
            <w:u w:val="single" w:color="0000FF"/>
          </w:rPr>
          <w:t>www.stellantis.com</w:t>
        </w:r>
      </w:hyperlink>
      <w:r>
        <w:rPr>
          <w:rFonts w:ascii="Arial" w:eastAsia="Arial" w:hAnsi="Arial" w:cs="Arial"/>
          <w:i/>
          <w:iCs/>
          <w:sz w:val="18"/>
          <w:szCs w:val="18"/>
        </w:rPr>
        <w:t>.</w:t>
      </w:r>
      <w:bookmarkEnd w:id="0"/>
    </w:p>
    <w:p w14:paraId="7C14792C" w14:textId="77777777" w:rsidR="0021423D" w:rsidRDefault="0021423D">
      <w:pPr>
        <w:spacing w:line="240" w:lineRule="auto"/>
        <w:jc w:val="both"/>
        <w:rPr>
          <w:rFonts w:ascii="Arial" w:eastAsia="Arial" w:hAnsi="Arial" w:cs="Arial"/>
          <w:sz w:val="18"/>
          <w:szCs w:val="18"/>
        </w:rPr>
      </w:pPr>
    </w:p>
    <w:p w14:paraId="387989BE" w14:textId="77777777" w:rsidR="0021423D" w:rsidRDefault="00A070B5">
      <w:pPr>
        <w:spacing w:line="240" w:lineRule="auto"/>
        <w:jc w:val="both"/>
        <w:rPr>
          <w:sz w:val="18"/>
          <w:szCs w:val="18"/>
        </w:rPr>
      </w:pPr>
      <w:r>
        <w:rPr>
          <w:rFonts w:ascii="Arial" w:eastAsia="Arial" w:hAnsi="Arial" w:cs="Arial"/>
          <w:b/>
          <w:bCs/>
          <w:i/>
          <w:iCs/>
          <w:sz w:val="18"/>
          <w:szCs w:val="18"/>
        </w:rPr>
        <w:t>About FORVIA</w:t>
      </w:r>
    </w:p>
    <w:p w14:paraId="29A60223" w14:textId="77777777" w:rsidR="0021423D" w:rsidRDefault="00A070B5">
      <w:pPr>
        <w:spacing w:line="240" w:lineRule="auto"/>
        <w:jc w:val="both"/>
      </w:pPr>
      <w:r>
        <w:rPr>
          <w:rFonts w:ascii="Arial" w:eastAsia="Arial" w:hAnsi="Arial" w:cs="Arial"/>
          <w:i/>
          <w:iCs/>
          <w:sz w:val="18"/>
          <w:szCs w:val="18"/>
        </w:rPr>
        <w:t xml:space="preserve">FORVIA, the world’s seventh largest automotive technology player, comprises the complementary technology and industrial strengths of Faurecia and HELLA. With close to 300 industrial sites and 75 R&amp;D centers, 150,000 people, including more than 35,000 engineers across 40+ countries, FORVIA provides a unique and comprehensive approach to the automotive challenges of today and tomorrow. Composed of 6 business groups, FORVIA is focused on becoming the preferred innovation and integration partner for OEMs worldwide. The Group provides solutions for a safe, sustainable, advanced and customized mobility. FORVIA aims to be a change maker committed to foreseeing and making the mobility transformation happen. </w:t>
      </w:r>
      <w:hyperlink r:id="rId9" w:history="1">
        <w:r>
          <w:rPr>
            <w:rFonts w:ascii="Arial" w:eastAsia="Arial" w:hAnsi="Arial" w:cs="Arial"/>
            <w:color w:val="0000FF"/>
            <w:sz w:val="18"/>
            <w:szCs w:val="18"/>
            <w:u w:val="single" w:color="0000FF"/>
          </w:rPr>
          <w:t>www.forvia.com</w:t>
        </w:r>
      </w:hyperlink>
    </w:p>
    <w:p w14:paraId="60ACB076" w14:textId="77777777" w:rsidR="0021423D" w:rsidRDefault="0021423D">
      <w:pPr>
        <w:spacing w:line="240" w:lineRule="auto"/>
        <w:jc w:val="both"/>
        <w:rPr>
          <w:rFonts w:ascii="Arial" w:eastAsia="Arial" w:hAnsi="Arial" w:cs="Arial"/>
          <w:b/>
          <w:bCs/>
          <w:i/>
          <w:iCs/>
          <w:sz w:val="18"/>
          <w:szCs w:val="18"/>
        </w:rPr>
      </w:pPr>
    </w:p>
    <w:p w14:paraId="5BFA7E1A" w14:textId="77777777" w:rsidR="0021423D" w:rsidRDefault="00A070B5">
      <w:pPr>
        <w:spacing w:line="240" w:lineRule="auto"/>
        <w:jc w:val="both"/>
        <w:rPr>
          <w:sz w:val="18"/>
          <w:szCs w:val="18"/>
        </w:rPr>
      </w:pPr>
      <w:r>
        <w:rPr>
          <w:rFonts w:ascii="Arial" w:eastAsia="Arial" w:hAnsi="Arial" w:cs="Arial"/>
          <w:b/>
          <w:bCs/>
          <w:i/>
          <w:iCs/>
          <w:sz w:val="18"/>
          <w:szCs w:val="18"/>
        </w:rPr>
        <w:t>About Michelin</w:t>
      </w:r>
    </w:p>
    <w:p w14:paraId="33C4801E" w14:textId="77777777" w:rsidR="0021423D" w:rsidRDefault="00A070B5">
      <w:pPr>
        <w:spacing w:line="240" w:lineRule="auto"/>
        <w:jc w:val="both"/>
      </w:pPr>
      <w:r>
        <w:rPr>
          <w:rFonts w:ascii="Arial" w:eastAsia="Arial" w:hAnsi="Arial" w:cs="Arial"/>
          <w:i/>
          <w:iCs/>
          <w:sz w:val="18"/>
          <w:szCs w:val="18"/>
        </w:rPr>
        <w:t>Michelin, the leading mobility company, is dedicated to enhancing its clients’ mobility, sustainably; designing and distributing the most suitable tires, services and solutions for its clients’ needs; providing digital services, maps and guides to help enrich trips and travels and make them unique experiences; and developing high-technology materials that serve a variety of industries. Headquartered in Clermont-Ferrand, France, Michelin is present in 177 countries, has 124,760 employees and operates 68 tire production facilities which together produced around 173 million tires in 2021. (</w:t>
      </w:r>
      <w:hyperlink r:id="rId10" w:history="1">
        <w:r>
          <w:rPr>
            <w:rFonts w:ascii="Arial" w:eastAsia="Arial" w:hAnsi="Arial" w:cs="Arial"/>
            <w:i/>
            <w:iCs/>
            <w:color w:val="0000FF"/>
            <w:sz w:val="18"/>
            <w:szCs w:val="18"/>
            <w:u w:val="single" w:color="0000FF"/>
          </w:rPr>
          <w:t>www.michelin.com</w:t>
        </w:r>
      </w:hyperlink>
      <w:r>
        <w:rPr>
          <w:rFonts w:ascii="Arial" w:eastAsia="Arial" w:hAnsi="Arial" w:cs="Arial"/>
          <w:i/>
          <w:iCs/>
          <w:color w:val="B5082E"/>
          <w:sz w:val="18"/>
          <w:szCs w:val="18"/>
          <w:u w:val="single" w:color="B5082E"/>
        </w:rPr>
        <w:t>)</w:t>
      </w:r>
    </w:p>
    <w:p w14:paraId="1473BC1E" w14:textId="77777777" w:rsidR="0021423D" w:rsidRDefault="0021423D">
      <w:pPr>
        <w:spacing w:after="160"/>
        <w:jc w:val="both"/>
        <w:rPr>
          <w:rFonts w:ascii="Encode Sans" w:eastAsia="Encode Sans" w:hAnsi="Encode Sans" w:cs="Encode Sans"/>
          <w:b/>
          <w:bCs/>
          <w:i/>
          <w:iCs/>
        </w:rPr>
      </w:pPr>
    </w:p>
    <w:p w14:paraId="37048DBC" w14:textId="77777777" w:rsidR="0021423D" w:rsidRPr="00C96E53" w:rsidRDefault="00A070B5">
      <w:pPr>
        <w:rPr>
          <w:rFonts w:ascii="Arial" w:hAnsi="Arial" w:cs="Arial"/>
          <w:sz w:val="20"/>
          <w:szCs w:val="20"/>
        </w:rPr>
      </w:pPr>
      <w:r w:rsidRPr="00C96E53">
        <w:rPr>
          <w:rFonts w:ascii="Arial" w:eastAsia="Arial" w:hAnsi="Arial" w:cs="Arial"/>
          <w:b/>
          <w:bCs/>
          <w:sz w:val="20"/>
          <w:szCs w:val="20"/>
        </w:rPr>
        <w:t>Contacts:</w:t>
      </w:r>
    </w:p>
    <w:p w14:paraId="44BE4009" w14:textId="77777777" w:rsidR="0021423D" w:rsidRPr="00C96E53" w:rsidRDefault="0021423D">
      <w:pPr>
        <w:rPr>
          <w:rFonts w:ascii="Arial" w:eastAsia="Arial" w:hAnsi="Arial" w:cs="Arial"/>
          <w:sz w:val="20"/>
          <w:szCs w:val="20"/>
        </w:rPr>
      </w:pPr>
    </w:p>
    <w:tbl>
      <w:tblPr>
        <w:tblW w:w="0" w:type="auto"/>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50"/>
        <w:gridCol w:w="3329"/>
        <w:gridCol w:w="3327"/>
      </w:tblGrid>
      <w:tr w:rsidR="0021423D" w:rsidRPr="00B257D7" w14:paraId="1DDD0D04" w14:textId="77777777">
        <w:tc>
          <w:tcPr>
            <w:tcW w:w="3131" w:type="dxa"/>
            <w:tcBorders>
              <w:right w:val="nil"/>
            </w:tcBorders>
            <w:tcMar>
              <w:top w:w="0" w:type="dxa"/>
              <w:left w:w="123" w:type="dxa"/>
              <w:bottom w:w="0" w:type="dxa"/>
              <w:right w:w="108" w:type="dxa"/>
            </w:tcMar>
            <w:hideMark/>
          </w:tcPr>
          <w:p w14:paraId="51AB71D6" w14:textId="77777777" w:rsidR="0021423D" w:rsidRPr="00B257D7" w:rsidRDefault="00A070B5">
            <w:pPr>
              <w:jc w:val="center"/>
              <w:rPr>
                <w:rFonts w:ascii="Arial" w:hAnsi="Arial" w:cs="Arial"/>
                <w:color w:val="000000"/>
                <w:sz w:val="20"/>
                <w:szCs w:val="20"/>
              </w:rPr>
            </w:pPr>
            <w:r w:rsidRPr="00B257D7">
              <w:rPr>
                <w:rFonts w:ascii="Arial" w:eastAsia="Arial" w:hAnsi="Arial" w:cs="Arial"/>
                <w:b/>
                <w:bCs/>
                <w:color w:val="000000"/>
                <w:sz w:val="20"/>
                <w:szCs w:val="20"/>
              </w:rPr>
              <w:t>Stellantis</w:t>
            </w:r>
          </w:p>
          <w:p w14:paraId="393AED0B" w14:textId="77777777" w:rsidR="0021423D" w:rsidRPr="00B257D7" w:rsidRDefault="0021423D">
            <w:pPr>
              <w:rPr>
                <w:rFonts w:ascii="Arial" w:eastAsia="Arial" w:hAnsi="Arial" w:cs="Arial"/>
                <w:b/>
                <w:bCs/>
                <w:color w:val="000000"/>
                <w:sz w:val="20"/>
                <w:szCs w:val="20"/>
              </w:rPr>
            </w:pPr>
          </w:p>
          <w:p w14:paraId="24A491B8" w14:textId="77777777" w:rsidR="0021423D" w:rsidRPr="00B257D7" w:rsidRDefault="00A070B5">
            <w:pPr>
              <w:rPr>
                <w:rFonts w:ascii="Arial" w:hAnsi="Arial" w:cs="Arial"/>
                <w:color w:val="000000"/>
                <w:sz w:val="20"/>
                <w:szCs w:val="20"/>
              </w:rPr>
            </w:pPr>
            <w:proofErr w:type="spellStart"/>
            <w:r w:rsidRPr="00B257D7">
              <w:rPr>
                <w:rFonts w:ascii="Arial" w:eastAsia="Arial" w:hAnsi="Arial" w:cs="Arial"/>
                <w:b/>
                <w:bCs/>
                <w:color w:val="000000"/>
                <w:sz w:val="20"/>
                <w:szCs w:val="20"/>
              </w:rPr>
              <w:t>Fernão</w:t>
            </w:r>
            <w:proofErr w:type="spellEnd"/>
            <w:r w:rsidRPr="00B257D7">
              <w:rPr>
                <w:rFonts w:ascii="Arial" w:eastAsia="Arial" w:hAnsi="Arial" w:cs="Arial"/>
                <w:b/>
                <w:bCs/>
                <w:color w:val="000000"/>
                <w:sz w:val="20"/>
                <w:szCs w:val="20"/>
              </w:rPr>
              <w:t xml:space="preserve"> Silveira</w:t>
            </w:r>
          </w:p>
          <w:p w14:paraId="587707B3" w14:textId="77777777" w:rsidR="0021423D" w:rsidRPr="00B257D7" w:rsidRDefault="00A070B5">
            <w:pPr>
              <w:rPr>
                <w:rFonts w:ascii="Arial" w:hAnsi="Arial" w:cs="Arial"/>
                <w:color w:val="000000"/>
                <w:sz w:val="20"/>
                <w:szCs w:val="20"/>
              </w:rPr>
            </w:pPr>
            <w:r w:rsidRPr="00B257D7">
              <w:rPr>
                <w:rFonts w:ascii="Arial" w:eastAsia="Arial" w:hAnsi="Arial" w:cs="Arial"/>
                <w:color w:val="000000"/>
                <w:sz w:val="20"/>
                <w:szCs w:val="20"/>
              </w:rPr>
              <w:t>Global Communications / Stellantis</w:t>
            </w:r>
          </w:p>
          <w:p w14:paraId="696F3F48" w14:textId="77777777" w:rsidR="0021423D" w:rsidRPr="00C96E53" w:rsidRDefault="00A070B5">
            <w:pPr>
              <w:rPr>
                <w:rFonts w:ascii="Arial" w:hAnsi="Arial" w:cs="Arial"/>
                <w:color w:val="000000"/>
                <w:sz w:val="20"/>
                <w:szCs w:val="20"/>
              </w:rPr>
            </w:pPr>
            <w:r w:rsidRPr="00C96E53">
              <w:rPr>
                <w:rFonts w:ascii="Arial" w:eastAsia="Arial" w:hAnsi="Arial" w:cs="Arial"/>
                <w:color w:val="000000"/>
                <w:sz w:val="20"/>
                <w:szCs w:val="20"/>
              </w:rPr>
              <w:t>+31 6 43 25 43 41</w:t>
            </w:r>
          </w:p>
          <w:p w14:paraId="6BDBA484" w14:textId="77777777" w:rsidR="0021423D" w:rsidRPr="00C96E53" w:rsidRDefault="00B257D7">
            <w:pPr>
              <w:rPr>
                <w:rFonts w:ascii="Arial" w:hAnsi="Arial" w:cs="Arial"/>
                <w:color w:val="000000"/>
                <w:sz w:val="20"/>
                <w:szCs w:val="20"/>
              </w:rPr>
            </w:pPr>
            <w:hyperlink r:id="rId11" w:history="1">
              <w:r w:rsidR="00A070B5" w:rsidRPr="00C96E53">
                <w:rPr>
                  <w:rFonts w:ascii="Arial" w:eastAsia="Arial" w:hAnsi="Arial" w:cs="Arial"/>
                  <w:color w:val="000000"/>
                  <w:sz w:val="20"/>
                  <w:szCs w:val="20"/>
                  <w:u w:val="single" w:color="000000"/>
                </w:rPr>
                <w:t>fernao.silveira@stellantis.com</w:t>
              </w:r>
            </w:hyperlink>
          </w:p>
          <w:p w14:paraId="6443435A" w14:textId="77777777" w:rsidR="0021423D" w:rsidRPr="00C96E53" w:rsidRDefault="0021423D">
            <w:pPr>
              <w:rPr>
                <w:rFonts w:ascii="Arial" w:eastAsia="Arial" w:hAnsi="Arial" w:cs="Arial"/>
                <w:color w:val="000000"/>
                <w:sz w:val="20"/>
                <w:szCs w:val="20"/>
              </w:rPr>
            </w:pPr>
          </w:p>
          <w:p w14:paraId="037BC704" w14:textId="77777777" w:rsidR="0021423D" w:rsidRPr="00C96E53" w:rsidRDefault="00A070B5">
            <w:pPr>
              <w:rPr>
                <w:rFonts w:ascii="Arial" w:hAnsi="Arial" w:cs="Arial"/>
                <w:color w:val="000000"/>
                <w:sz w:val="20"/>
                <w:szCs w:val="20"/>
              </w:rPr>
            </w:pPr>
            <w:r w:rsidRPr="00C96E53">
              <w:rPr>
                <w:rFonts w:ascii="Arial" w:eastAsia="Arial" w:hAnsi="Arial" w:cs="Arial"/>
                <w:b/>
                <w:bCs/>
                <w:color w:val="000000"/>
                <w:sz w:val="20"/>
                <w:szCs w:val="20"/>
              </w:rPr>
              <w:t>Valérie GILLOT</w:t>
            </w:r>
          </w:p>
          <w:p w14:paraId="3E8E8679" w14:textId="77777777" w:rsidR="0021423D" w:rsidRPr="00C96E53" w:rsidRDefault="00A070B5">
            <w:pPr>
              <w:rPr>
                <w:rFonts w:ascii="Arial" w:hAnsi="Arial" w:cs="Arial"/>
                <w:color w:val="000000"/>
                <w:sz w:val="20"/>
                <w:szCs w:val="20"/>
              </w:rPr>
            </w:pPr>
            <w:r w:rsidRPr="00C96E53">
              <w:rPr>
                <w:rFonts w:ascii="Arial" w:eastAsia="Arial" w:hAnsi="Arial" w:cs="Arial"/>
                <w:color w:val="000000"/>
                <w:sz w:val="20"/>
                <w:szCs w:val="20"/>
              </w:rPr>
              <w:t>+33 6 83 92 92 96</w:t>
            </w:r>
          </w:p>
          <w:p w14:paraId="7CC99543" w14:textId="77777777" w:rsidR="0021423D" w:rsidRPr="00C96E53" w:rsidRDefault="00A070B5">
            <w:pPr>
              <w:rPr>
                <w:rFonts w:ascii="Arial" w:hAnsi="Arial" w:cs="Arial"/>
                <w:color w:val="000000"/>
                <w:sz w:val="20"/>
                <w:szCs w:val="20"/>
              </w:rPr>
            </w:pPr>
            <w:r w:rsidRPr="00C96E53">
              <w:rPr>
                <w:rFonts w:ascii="Arial" w:eastAsia="Arial" w:hAnsi="Arial" w:cs="Arial"/>
                <w:color w:val="000000"/>
                <w:sz w:val="20"/>
                <w:szCs w:val="20"/>
              </w:rPr>
              <w:t>valerie.gillot@stellantis.com</w:t>
            </w:r>
          </w:p>
          <w:p w14:paraId="5C702C37" w14:textId="77777777" w:rsidR="0021423D" w:rsidRPr="00C96E53" w:rsidRDefault="0021423D">
            <w:pPr>
              <w:rPr>
                <w:rFonts w:ascii="Arial" w:eastAsia="Arial" w:hAnsi="Arial" w:cs="Arial"/>
                <w:b/>
                <w:bCs/>
                <w:color w:val="000000"/>
                <w:sz w:val="20"/>
                <w:szCs w:val="20"/>
              </w:rPr>
            </w:pPr>
          </w:p>
          <w:p w14:paraId="565D2401" w14:textId="77777777" w:rsidR="0021423D" w:rsidRPr="00C96E53" w:rsidRDefault="00A070B5">
            <w:pPr>
              <w:rPr>
                <w:rFonts w:ascii="Arial" w:hAnsi="Arial" w:cs="Arial"/>
                <w:color w:val="000000"/>
                <w:sz w:val="20"/>
                <w:szCs w:val="20"/>
              </w:rPr>
            </w:pPr>
            <w:r w:rsidRPr="00C96E53">
              <w:rPr>
                <w:rFonts w:ascii="Arial" w:eastAsia="Arial" w:hAnsi="Arial" w:cs="Arial"/>
                <w:color w:val="000000"/>
                <w:sz w:val="20"/>
                <w:szCs w:val="20"/>
              </w:rPr>
              <w:t>communications@stellantis.com</w:t>
            </w:r>
          </w:p>
          <w:p w14:paraId="4E3B1507" w14:textId="77777777" w:rsidR="0021423D" w:rsidRPr="00C96E53" w:rsidRDefault="00B257D7">
            <w:pPr>
              <w:rPr>
                <w:rFonts w:ascii="Arial" w:hAnsi="Arial" w:cs="Arial"/>
                <w:color w:val="000000"/>
                <w:sz w:val="20"/>
                <w:szCs w:val="20"/>
              </w:rPr>
            </w:pPr>
            <w:hyperlink r:id="rId12" w:history="1">
              <w:r w:rsidR="00A070B5" w:rsidRPr="00C96E53">
                <w:rPr>
                  <w:rFonts w:ascii="Arial" w:eastAsia="Arial" w:hAnsi="Arial" w:cs="Arial"/>
                  <w:color w:val="000000"/>
                  <w:sz w:val="20"/>
                  <w:szCs w:val="20"/>
                  <w:u w:val="single" w:color="000000"/>
                </w:rPr>
                <w:t>www.stellantis.com</w:t>
              </w:r>
            </w:hyperlink>
          </w:p>
          <w:p w14:paraId="4BA27F24" w14:textId="77777777" w:rsidR="0021423D" w:rsidRPr="00C96E53" w:rsidRDefault="0021423D">
            <w:pPr>
              <w:spacing w:after="160"/>
              <w:rPr>
                <w:rFonts w:ascii="Arial" w:eastAsia="Arial" w:hAnsi="Arial" w:cs="Arial"/>
                <w:b/>
                <w:bCs/>
                <w:i/>
                <w:iCs/>
                <w:color w:val="000000"/>
                <w:sz w:val="20"/>
                <w:szCs w:val="20"/>
              </w:rPr>
            </w:pPr>
          </w:p>
        </w:tc>
        <w:tc>
          <w:tcPr>
            <w:tcW w:w="3117" w:type="dxa"/>
            <w:tcBorders>
              <w:left w:val="nil"/>
              <w:right w:val="nil"/>
            </w:tcBorders>
            <w:tcMar>
              <w:top w:w="0" w:type="dxa"/>
              <w:left w:w="108" w:type="dxa"/>
              <w:bottom w:w="0" w:type="dxa"/>
              <w:right w:w="108" w:type="dxa"/>
            </w:tcMar>
            <w:hideMark/>
          </w:tcPr>
          <w:p w14:paraId="33F45A80" w14:textId="77777777" w:rsidR="0021423D" w:rsidRPr="00C96E53" w:rsidRDefault="00A070B5">
            <w:pPr>
              <w:spacing w:after="160"/>
              <w:jc w:val="center"/>
              <w:rPr>
                <w:rFonts w:ascii="Arial" w:hAnsi="Arial" w:cs="Arial"/>
                <w:color w:val="000000"/>
                <w:sz w:val="20"/>
                <w:szCs w:val="20"/>
                <w:lang w:val="fr-FR"/>
              </w:rPr>
            </w:pPr>
            <w:r w:rsidRPr="00C96E53">
              <w:rPr>
                <w:rFonts w:ascii="Arial" w:eastAsia="Arial" w:hAnsi="Arial" w:cs="Arial"/>
                <w:b/>
                <w:bCs/>
                <w:color w:val="000000"/>
                <w:sz w:val="20"/>
                <w:szCs w:val="20"/>
                <w:lang w:val="fr-FR"/>
              </w:rPr>
              <w:lastRenderedPageBreak/>
              <w:t>MICHELIN</w:t>
            </w:r>
          </w:p>
          <w:p w14:paraId="4040B2D9" w14:textId="77777777" w:rsidR="0021423D" w:rsidRPr="00C96E53" w:rsidRDefault="00A070B5">
            <w:pPr>
              <w:spacing w:after="160"/>
              <w:rPr>
                <w:rFonts w:ascii="Arial" w:hAnsi="Arial" w:cs="Arial"/>
                <w:color w:val="000000"/>
                <w:sz w:val="20"/>
                <w:szCs w:val="20"/>
                <w:lang w:val="fr-FR"/>
              </w:rPr>
            </w:pPr>
            <w:r w:rsidRPr="00C96E53">
              <w:rPr>
                <w:rFonts w:ascii="Arial" w:eastAsia="Arial" w:hAnsi="Arial" w:cs="Arial"/>
                <w:b/>
                <w:bCs/>
                <w:color w:val="000000"/>
                <w:sz w:val="20"/>
                <w:szCs w:val="20"/>
                <w:lang w:val="fr-FR"/>
              </w:rPr>
              <w:t>Service de presse</w:t>
            </w:r>
            <w:r w:rsidRPr="00C96E53">
              <w:rPr>
                <w:rFonts w:ascii="Arial" w:eastAsia="Arial" w:hAnsi="Arial" w:cs="Arial"/>
                <w:color w:val="000000"/>
                <w:sz w:val="20"/>
                <w:szCs w:val="20"/>
                <w:lang w:val="fr-FR"/>
              </w:rPr>
              <w:t xml:space="preserve"> 7/7J 24/24h</w:t>
            </w:r>
          </w:p>
          <w:p w14:paraId="0D19FA37" w14:textId="77777777" w:rsidR="0021423D" w:rsidRPr="00C96E53" w:rsidRDefault="00A070B5">
            <w:pPr>
              <w:spacing w:after="160"/>
              <w:rPr>
                <w:rFonts w:ascii="Arial" w:hAnsi="Arial" w:cs="Arial"/>
                <w:color w:val="000000"/>
                <w:sz w:val="20"/>
                <w:szCs w:val="20"/>
              </w:rPr>
            </w:pPr>
            <w:r w:rsidRPr="00C96E53">
              <w:rPr>
                <w:rFonts w:ascii="Arial" w:eastAsia="Arial" w:hAnsi="Arial" w:cs="Arial"/>
                <w:color w:val="000000"/>
                <w:sz w:val="20"/>
                <w:szCs w:val="20"/>
              </w:rPr>
              <w:t>+ 33 145662222</w:t>
            </w:r>
          </w:p>
          <w:p w14:paraId="38A0B91E" w14:textId="77777777" w:rsidR="0021423D" w:rsidRPr="00C96E53" w:rsidRDefault="00A070B5">
            <w:pPr>
              <w:spacing w:after="160"/>
              <w:rPr>
                <w:rFonts w:ascii="Arial" w:hAnsi="Arial" w:cs="Arial"/>
                <w:color w:val="000000"/>
                <w:sz w:val="20"/>
                <w:szCs w:val="20"/>
              </w:rPr>
            </w:pPr>
            <w:r w:rsidRPr="00C96E53">
              <w:rPr>
                <w:rFonts w:ascii="Arial" w:eastAsia="Arial" w:hAnsi="Arial" w:cs="Arial"/>
                <w:color w:val="000000"/>
                <w:sz w:val="20"/>
                <w:szCs w:val="20"/>
              </w:rPr>
              <w:t>Twitter : @MichelinNews</w:t>
            </w:r>
          </w:p>
          <w:p w14:paraId="08EA8307" w14:textId="77777777" w:rsidR="0021423D" w:rsidRPr="00C96E53" w:rsidRDefault="0021423D">
            <w:pPr>
              <w:spacing w:line="240" w:lineRule="auto"/>
              <w:rPr>
                <w:rFonts w:ascii="Arial" w:eastAsia="Arial" w:hAnsi="Arial" w:cs="Arial"/>
                <w:color w:val="000000"/>
                <w:sz w:val="20"/>
                <w:szCs w:val="20"/>
              </w:rPr>
            </w:pPr>
          </w:p>
          <w:tbl>
            <w:tblPr>
              <w:tblW w:w="0" w:type="auto"/>
              <w:tblCellMar>
                <w:left w:w="0" w:type="dxa"/>
                <w:right w:w="0" w:type="dxa"/>
              </w:tblCellMar>
              <w:tblLook w:val="04A0" w:firstRow="1" w:lastRow="0" w:firstColumn="1" w:lastColumn="0" w:noHBand="0" w:noVBand="1"/>
            </w:tblPr>
            <w:tblGrid>
              <w:gridCol w:w="3113"/>
            </w:tblGrid>
            <w:tr w:rsidR="0021423D" w:rsidRPr="00C96E53" w14:paraId="585038E7" w14:textId="77777777">
              <w:trPr>
                <w:trHeight w:val="307"/>
              </w:trPr>
              <w:tc>
                <w:tcPr>
                  <w:tcW w:w="0" w:type="auto"/>
                  <w:tcMar>
                    <w:top w:w="0" w:type="dxa"/>
                    <w:left w:w="123" w:type="dxa"/>
                    <w:bottom w:w="0" w:type="dxa"/>
                    <w:right w:w="123" w:type="dxa"/>
                  </w:tcMar>
                  <w:hideMark/>
                </w:tcPr>
                <w:p w14:paraId="7E06DFB1" w14:textId="77777777" w:rsidR="00F45956" w:rsidRPr="00C96E53" w:rsidRDefault="00F45956" w:rsidP="00F45956">
                  <w:pPr>
                    <w:spacing w:line="240" w:lineRule="auto"/>
                    <w:rPr>
                      <w:rFonts w:ascii="Arial" w:eastAsia="Arial" w:hAnsi="Arial" w:cs="Arial"/>
                      <w:b/>
                      <w:bCs/>
                      <w:color w:val="000000"/>
                      <w:sz w:val="20"/>
                      <w:szCs w:val="20"/>
                    </w:rPr>
                  </w:pPr>
                  <w:r w:rsidRPr="00C96E53">
                    <w:rPr>
                      <w:rFonts w:ascii="Arial" w:eastAsia="Arial" w:hAnsi="Arial" w:cs="Arial"/>
                      <w:b/>
                      <w:bCs/>
                      <w:color w:val="000000"/>
                      <w:sz w:val="20"/>
                      <w:szCs w:val="20"/>
                    </w:rPr>
                    <w:t>Guillaume JULLIENNE</w:t>
                  </w:r>
                </w:p>
                <w:p w14:paraId="68C08B4D" w14:textId="3F7AD630" w:rsidR="00F45956" w:rsidRPr="00C96E53" w:rsidRDefault="00F45956" w:rsidP="00F45956">
                  <w:pPr>
                    <w:spacing w:line="240" w:lineRule="auto"/>
                    <w:rPr>
                      <w:rFonts w:ascii="Arial" w:eastAsia="Arial" w:hAnsi="Arial" w:cs="Arial"/>
                      <w:color w:val="000000"/>
                      <w:sz w:val="20"/>
                      <w:szCs w:val="20"/>
                    </w:rPr>
                  </w:pPr>
                  <w:r w:rsidRPr="00C96E53">
                    <w:rPr>
                      <w:rFonts w:ascii="Arial" w:eastAsia="Arial" w:hAnsi="Arial" w:cs="Arial"/>
                      <w:color w:val="000000"/>
                      <w:sz w:val="20"/>
                      <w:szCs w:val="20"/>
                    </w:rPr>
                    <w:t>Head of Investor Relations :</w:t>
                  </w:r>
                </w:p>
                <w:p w14:paraId="3DACE882" w14:textId="7E292857" w:rsidR="00F45956" w:rsidRPr="00C96E53" w:rsidRDefault="00F45956" w:rsidP="00F45956">
                  <w:pPr>
                    <w:spacing w:line="240" w:lineRule="auto"/>
                    <w:rPr>
                      <w:rFonts w:ascii="Arial" w:hAnsi="Arial" w:cs="Arial"/>
                      <w:color w:val="000000"/>
                      <w:sz w:val="20"/>
                      <w:szCs w:val="20"/>
                    </w:rPr>
                  </w:pPr>
                  <w:r w:rsidRPr="00C96E53">
                    <w:rPr>
                      <w:rFonts w:ascii="Arial" w:hAnsi="Arial" w:cs="Arial"/>
                      <w:sz w:val="20"/>
                      <w:szCs w:val="20"/>
                    </w:rPr>
                    <w:t>guillaume.jullienne@michelin.com</w:t>
                  </w:r>
                  <w:r w:rsidRPr="00C96E53">
                    <w:rPr>
                      <w:rFonts w:ascii="Arial" w:hAnsi="Arial" w:cs="Arial"/>
                      <w:color w:val="000000"/>
                      <w:sz w:val="20"/>
                      <w:szCs w:val="20"/>
                    </w:rPr>
                    <w:t xml:space="preserve"> </w:t>
                  </w:r>
                </w:p>
                <w:p w14:paraId="27B14FD4" w14:textId="77777777" w:rsidR="0021423D" w:rsidRPr="00C96E53" w:rsidRDefault="00A070B5">
                  <w:pPr>
                    <w:spacing w:line="240" w:lineRule="auto"/>
                    <w:rPr>
                      <w:rFonts w:ascii="Arial" w:hAnsi="Arial" w:cs="Arial"/>
                      <w:color w:val="000000"/>
                      <w:sz w:val="20"/>
                      <w:szCs w:val="20"/>
                    </w:rPr>
                  </w:pPr>
                  <w:r w:rsidRPr="00C96E53">
                    <w:rPr>
                      <w:rFonts w:ascii="Arial" w:eastAsia="Arial" w:hAnsi="Arial" w:cs="Arial"/>
                      <w:color w:val="000000"/>
                      <w:sz w:val="20"/>
                      <w:szCs w:val="20"/>
                    </w:rPr>
                    <w:t xml:space="preserve"> </w:t>
                  </w:r>
                </w:p>
              </w:tc>
            </w:tr>
          </w:tbl>
          <w:p w14:paraId="18A3DB4C" w14:textId="77777777" w:rsidR="0021423D" w:rsidRPr="00C96E53" w:rsidRDefault="0021423D">
            <w:pPr>
              <w:spacing w:after="160"/>
              <w:rPr>
                <w:rFonts w:ascii="Arial" w:eastAsia="Arial" w:hAnsi="Arial" w:cs="Arial"/>
                <w:color w:val="000000"/>
                <w:sz w:val="20"/>
                <w:szCs w:val="20"/>
              </w:rPr>
            </w:pPr>
          </w:p>
          <w:p w14:paraId="6120C33B" w14:textId="77777777" w:rsidR="0021423D" w:rsidRPr="00C96E53" w:rsidRDefault="0021423D">
            <w:pPr>
              <w:spacing w:after="160"/>
              <w:rPr>
                <w:rFonts w:ascii="Arial" w:eastAsia="Arial" w:hAnsi="Arial" w:cs="Arial"/>
                <w:color w:val="000000"/>
                <w:sz w:val="20"/>
                <w:szCs w:val="20"/>
              </w:rPr>
            </w:pPr>
          </w:p>
          <w:p w14:paraId="40EE995B" w14:textId="77777777" w:rsidR="0021423D" w:rsidRPr="00C96E53" w:rsidRDefault="0021423D">
            <w:pPr>
              <w:spacing w:after="160"/>
              <w:rPr>
                <w:rFonts w:ascii="Arial" w:eastAsia="Arial" w:hAnsi="Arial" w:cs="Arial"/>
                <w:b/>
                <w:bCs/>
                <w:i/>
                <w:iCs/>
                <w:color w:val="000000"/>
                <w:sz w:val="20"/>
                <w:szCs w:val="20"/>
              </w:rPr>
            </w:pPr>
          </w:p>
        </w:tc>
        <w:tc>
          <w:tcPr>
            <w:tcW w:w="3132" w:type="dxa"/>
            <w:tcBorders>
              <w:left w:val="nil"/>
            </w:tcBorders>
            <w:tcMar>
              <w:top w:w="0" w:type="dxa"/>
              <w:left w:w="108" w:type="dxa"/>
              <w:bottom w:w="0" w:type="dxa"/>
              <w:right w:w="123" w:type="dxa"/>
            </w:tcMar>
            <w:hideMark/>
          </w:tcPr>
          <w:p w14:paraId="1C7E199E" w14:textId="77777777" w:rsidR="0021423D" w:rsidRPr="00C96E53" w:rsidRDefault="00A070B5">
            <w:pPr>
              <w:spacing w:after="160"/>
              <w:jc w:val="center"/>
              <w:rPr>
                <w:rFonts w:ascii="Arial" w:hAnsi="Arial" w:cs="Arial"/>
                <w:color w:val="000000"/>
                <w:sz w:val="20"/>
                <w:szCs w:val="20"/>
                <w:lang w:val="fr-FR"/>
              </w:rPr>
            </w:pPr>
            <w:r w:rsidRPr="00C96E53">
              <w:rPr>
                <w:rFonts w:ascii="Arial" w:eastAsia="Arial" w:hAnsi="Arial" w:cs="Arial"/>
                <w:b/>
                <w:bCs/>
                <w:color w:val="000000"/>
                <w:sz w:val="20"/>
                <w:szCs w:val="20"/>
                <w:lang w:val="fr-FR"/>
              </w:rPr>
              <w:lastRenderedPageBreak/>
              <w:t>FORVIA</w:t>
            </w:r>
          </w:p>
          <w:p w14:paraId="2CA988E8"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Faurecia</w:t>
            </w:r>
          </w:p>
          <w:p w14:paraId="7EF60332"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Christophe</w:t>
            </w:r>
            <w:r w:rsidRPr="00C96E53">
              <w:rPr>
                <w:rFonts w:ascii="Arial" w:eastAsia="Arial" w:hAnsi="Arial" w:cs="Arial"/>
                <w:b/>
                <w:bCs/>
                <w:color w:val="000000"/>
                <w:spacing w:val="-6"/>
                <w:sz w:val="20"/>
                <w:szCs w:val="20"/>
                <w:lang w:val="fr-FR"/>
              </w:rPr>
              <w:t xml:space="preserve"> </w:t>
            </w:r>
            <w:r w:rsidRPr="00C96E53">
              <w:rPr>
                <w:rFonts w:ascii="Arial" w:eastAsia="Arial" w:hAnsi="Arial" w:cs="Arial"/>
                <w:b/>
                <w:bCs/>
                <w:color w:val="000000"/>
                <w:sz w:val="20"/>
                <w:szCs w:val="20"/>
                <w:lang w:val="fr-FR"/>
              </w:rPr>
              <w:t>MALBRANQUE</w:t>
            </w:r>
          </w:p>
          <w:p w14:paraId="3EE589FA"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Responsable Relations Presse</w:t>
            </w:r>
          </w:p>
          <w:p w14:paraId="06EB1C8E"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+33 (0) 6 21 96 23 53</w:t>
            </w:r>
          </w:p>
          <w:p w14:paraId="04B33A2C" w14:textId="1B539291" w:rsidR="0021423D" w:rsidRPr="00C96E53" w:rsidRDefault="00D4704B">
            <w:pPr>
              <w:ind w:left="161"/>
              <w:rPr>
                <w:rFonts w:ascii="Arial" w:hAnsi="Arial" w:cs="Arial"/>
                <w:color w:val="000000"/>
                <w:sz w:val="20"/>
                <w:szCs w:val="20"/>
                <w:lang w:val="fr-FR"/>
              </w:rPr>
            </w:pPr>
            <w:hyperlink r:id="rId13" w:history="1">
              <w:r w:rsidR="00A070B5" w:rsidRPr="00C96E53">
                <w:rPr>
                  <w:rFonts w:ascii="Arial" w:eastAsia="Arial" w:hAnsi="Arial" w:cs="Arial"/>
                  <w:color w:val="000000"/>
                  <w:spacing w:val="-2"/>
                  <w:sz w:val="20"/>
                  <w:szCs w:val="20"/>
                  <w:u w:val="single" w:color="000000"/>
                  <w:lang w:val="fr-FR"/>
                </w:rPr>
                <w:t>christophe.malbranque@forvia.com</w:t>
              </w:r>
            </w:hyperlink>
          </w:p>
          <w:p w14:paraId="6ACB6181" w14:textId="77777777" w:rsidR="0021423D" w:rsidRPr="00C96E53" w:rsidRDefault="00A070B5">
            <w:pPr>
              <w:rPr>
                <w:rFonts w:ascii="Arial" w:hAnsi="Arial" w:cs="Arial"/>
                <w:color w:val="000000"/>
                <w:sz w:val="20"/>
                <w:szCs w:val="20"/>
                <w:lang w:val="fr-FR"/>
              </w:rPr>
            </w:pPr>
            <w:r w:rsidRPr="00C96E53">
              <w:rPr>
                <w:rFonts w:ascii="Arial" w:eastAsia="Arial" w:hAnsi="Arial" w:cs="Arial"/>
                <w:color w:val="000000"/>
                <w:sz w:val="20"/>
                <w:szCs w:val="20"/>
                <w:lang w:val="fr-FR"/>
              </w:rPr>
              <w:t> </w:t>
            </w:r>
          </w:p>
          <w:p w14:paraId="1768828F"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Faurecia</w:t>
            </w:r>
          </w:p>
          <w:p w14:paraId="1F65629F"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Marc MAILLET</w:t>
            </w:r>
          </w:p>
          <w:p w14:paraId="0F8529DC"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Directeur des Relations Investisseurs</w:t>
            </w:r>
          </w:p>
          <w:p w14:paraId="02A383F7"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+33 (0) 1 72 36 75 70</w:t>
            </w:r>
          </w:p>
          <w:p w14:paraId="560A4032" w14:textId="77777777" w:rsidR="0021423D" w:rsidRPr="00C96E53" w:rsidRDefault="00B257D7">
            <w:pPr>
              <w:spacing w:line="240" w:lineRule="atLeast"/>
              <w:ind w:left="140"/>
              <w:rPr>
                <w:rFonts w:ascii="Arial" w:hAnsi="Arial" w:cs="Arial"/>
                <w:color w:val="000000"/>
                <w:sz w:val="20"/>
                <w:szCs w:val="20"/>
                <w:lang w:val="fr-FR"/>
              </w:rPr>
            </w:pPr>
            <w:hyperlink r:id="rId14" w:history="1">
              <w:r w:rsidR="00A070B5" w:rsidRPr="00C96E53">
                <w:rPr>
                  <w:rFonts w:ascii="Arial" w:eastAsia="Arial" w:hAnsi="Arial" w:cs="Arial"/>
                  <w:color w:val="000000"/>
                  <w:spacing w:val="-2"/>
                  <w:sz w:val="20"/>
                  <w:szCs w:val="20"/>
                  <w:u w:val="single" w:color="000000"/>
                  <w:lang w:val="fr-FR"/>
                </w:rPr>
                <w:t>marc.maillet@forvia.com</w:t>
              </w:r>
            </w:hyperlink>
          </w:p>
          <w:p w14:paraId="624D911C" w14:textId="77777777" w:rsidR="0021423D" w:rsidRPr="00C96E53" w:rsidRDefault="00A070B5">
            <w:pPr>
              <w:rPr>
                <w:rFonts w:ascii="Arial" w:hAnsi="Arial" w:cs="Arial"/>
                <w:color w:val="000000"/>
                <w:sz w:val="20"/>
                <w:szCs w:val="20"/>
                <w:lang w:val="fr-FR"/>
              </w:rPr>
            </w:pPr>
            <w:r w:rsidRPr="00C96E53">
              <w:rPr>
                <w:rFonts w:ascii="Arial" w:eastAsia="Arial" w:hAnsi="Arial" w:cs="Arial"/>
                <w:color w:val="000000"/>
                <w:sz w:val="20"/>
                <w:szCs w:val="20"/>
                <w:lang w:val="fr-FR"/>
              </w:rPr>
              <w:t> </w:t>
            </w:r>
          </w:p>
          <w:p w14:paraId="54C4D2EF" w14:textId="77777777" w:rsidR="0021423D" w:rsidRPr="00C96E53" w:rsidRDefault="0021423D">
            <w:pPr>
              <w:spacing w:after="160"/>
              <w:rPr>
                <w:rFonts w:ascii="Arial" w:eastAsia="Arial" w:hAnsi="Arial" w:cs="Arial"/>
                <w:b/>
                <w:bCs/>
                <w:color w:val="000000"/>
                <w:sz w:val="20"/>
                <w:szCs w:val="20"/>
                <w:lang w:val="fr-FR"/>
              </w:rPr>
            </w:pPr>
          </w:p>
        </w:tc>
      </w:tr>
    </w:tbl>
    <w:p w14:paraId="452C96D1" w14:textId="62EEA3C5" w:rsidR="0021423D" w:rsidRPr="00A070B5" w:rsidRDefault="0021423D">
      <w:pPr>
        <w:spacing w:line="240" w:lineRule="auto"/>
        <w:rPr>
          <w:lang w:val="fr-FR"/>
        </w:rPr>
      </w:pPr>
    </w:p>
    <w:p w14:paraId="02BDC5EE" w14:textId="77777777" w:rsidR="00A070B5" w:rsidRPr="00F45956" w:rsidRDefault="00A070B5">
      <w:pPr>
        <w:spacing w:line="240" w:lineRule="auto"/>
        <w:jc w:val="both"/>
        <w:rPr>
          <w:rFonts w:ascii="Arial" w:eastAsia="Arial" w:hAnsi="Arial" w:cs="Arial"/>
          <w:b/>
          <w:bCs/>
          <w:sz w:val="18"/>
          <w:szCs w:val="18"/>
          <w:lang w:val="fr-FR"/>
        </w:rPr>
      </w:pPr>
    </w:p>
    <w:p w14:paraId="66155DF4" w14:textId="77777777" w:rsidR="00A070B5" w:rsidRPr="00F45956" w:rsidRDefault="00A070B5">
      <w:pPr>
        <w:spacing w:line="240" w:lineRule="auto"/>
        <w:jc w:val="both"/>
        <w:rPr>
          <w:rFonts w:ascii="Arial" w:eastAsia="Arial" w:hAnsi="Arial" w:cs="Arial"/>
          <w:b/>
          <w:bCs/>
          <w:sz w:val="18"/>
          <w:szCs w:val="18"/>
          <w:lang w:val="fr-FR"/>
        </w:rPr>
      </w:pPr>
    </w:p>
    <w:p w14:paraId="5AA2A4D1" w14:textId="55C13D23" w:rsidR="0021423D" w:rsidRDefault="00C96E53">
      <w:pPr>
        <w:spacing w:line="240" w:lineRule="auto"/>
        <w:jc w:val="both"/>
        <w:rPr>
          <w:sz w:val="18"/>
          <w:szCs w:val="18"/>
        </w:rPr>
      </w:pPr>
      <w:r>
        <w:rPr>
          <w:rFonts w:ascii="Arial" w:eastAsia="Arial" w:hAnsi="Arial" w:cs="Arial"/>
          <w:b/>
          <w:bCs/>
          <w:sz w:val="18"/>
          <w:szCs w:val="18"/>
        </w:rPr>
        <w:t xml:space="preserve">STELLANTIS </w:t>
      </w:r>
      <w:r w:rsidR="00A070B5">
        <w:rPr>
          <w:rFonts w:ascii="Arial" w:eastAsia="Arial" w:hAnsi="Arial" w:cs="Arial"/>
          <w:b/>
          <w:bCs/>
          <w:sz w:val="18"/>
          <w:szCs w:val="18"/>
        </w:rPr>
        <w:t>FORWARD-LOOKING STATEMENTS</w:t>
      </w:r>
      <w:r w:rsidR="00A070B5">
        <w:rPr>
          <w:rFonts w:ascii="Arial" w:eastAsia="Arial" w:hAnsi="Arial" w:cs="Arial"/>
          <w:sz w:val="18"/>
          <w:szCs w:val="18"/>
        </w:rPr>
        <w:t> </w:t>
      </w:r>
    </w:p>
    <w:p w14:paraId="2C99DE69" w14:textId="77777777" w:rsidR="0021423D" w:rsidRDefault="00A070B5">
      <w:pPr>
        <w:spacing w:line="240" w:lineRule="auto"/>
        <w:jc w:val="both"/>
        <w:rPr>
          <w:sz w:val="18"/>
          <w:szCs w:val="18"/>
        </w:rPr>
      </w:pPr>
      <w:r>
        <w:rPr>
          <w:rFonts w:ascii="Arial" w:eastAsia="Arial" w:hAnsi="Arial" w:cs="Arial"/>
          <w:i/>
          <w:iCs/>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r>
        <w:rPr>
          <w:rFonts w:ascii="Arial" w:eastAsia="Arial" w:hAnsi="Arial" w:cs="Arial"/>
          <w:sz w:val="18"/>
          <w:szCs w:val="18"/>
        </w:rPr>
        <w:t> </w:t>
      </w:r>
    </w:p>
    <w:p w14:paraId="25F63EFC" w14:textId="77777777" w:rsidR="0021423D" w:rsidRDefault="0021423D">
      <w:pPr>
        <w:spacing w:line="240" w:lineRule="auto"/>
        <w:jc w:val="both"/>
        <w:rPr>
          <w:rFonts w:ascii="Segoe UI" w:eastAsia="Segoe UI" w:hAnsi="Segoe UI" w:cs="Segoe UI"/>
          <w:sz w:val="18"/>
          <w:szCs w:val="18"/>
        </w:rPr>
      </w:pPr>
    </w:p>
    <w:p w14:paraId="72DAFF0B" w14:textId="77777777" w:rsidR="0021423D" w:rsidRDefault="00A070B5">
      <w:pPr>
        <w:spacing w:line="240" w:lineRule="auto"/>
        <w:jc w:val="both"/>
        <w:rPr>
          <w:sz w:val="18"/>
          <w:szCs w:val="18"/>
        </w:rPr>
      </w:pPr>
      <w:r>
        <w:rPr>
          <w:rFonts w:ascii="Arial" w:eastAsia="Arial" w:hAnsi="Arial" w:cs="Arial"/>
          <w:i/>
          <w:iCs/>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r>
        <w:rPr>
          <w:rFonts w:ascii="Arial" w:eastAsia="Arial" w:hAnsi="Arial" w:cs="Arial"/>
          <w:sz w:val="18"/>
          <w:szCs w:val="18"/>
        </w:rPr>
        <w:t> </w:t>
      </w:r>
    </w:p>
    <w:p w14:paraId="56773D5C" w14:textId="77777777" w:rsidR="0021423D" w:rsidRDefault="0021423D">
      <w:pPr>
        <w:spacing w:line="240" w:lineRule="auto"/>
        <w:jc w:val="both"/>
        <w:rPr>
          <w:rFonts w:ascii="Segoe UI" w:eastAsia="Segoe UI" w:hAnsi="Segoe UI" w:cs="Segoe UI"/>
          <w:sz w:val="18"/>
          <w:szCs w:val="18"/>
        </w:rPr>
      </w:pPr>
    </w:p>
    <w:p w14:paraId="3779CFB5" w14:textId="77777777" w:rsidR="0021423D" w:rsidRDefault="00A070B5">
      <w:pPr>
        <w:spacing w:line="240" w:lineRule="auto"/>
        <w:jc w:val="both"/>
        <w:rPr>
          <w:sz w:val="18"/>
          <w:szCs w:val="18"/>
        </w:rPr>
      </w:pPr>
      <w:r>
        <w:rPr>
          <w:rFonts w:ascii="Arial" w:eastAsia="Arial" w:hAnsi="Arial" w:cs="Arial"/>
          <w:i/>
          <w:iCs/>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r>
        <w:rPr>
          <w:rFonts w:ascii="Arial" w:eastAsia="Arial" w:hAnsi="Arial" w:cs="Arial"/>
          <w:sz w:val="18"/>
          <w:szCs w:val="18"/>
        </w:rPr>
        <w:t> </w:t>
      </w:r>
    </w:p>
    <w:p w14:paraId="57223210" w14:textId="77777777" w:rsidR="0021423D" w:rsidRDefault="0021423D">
      <w:pPr>
        <w:rPr>
          <w:rFonts w:ascii="Arial" w:eastAsia="Arial" w:hAnsi="Arial" w:cs="Arial"/>
          <w:b/>
          <w:bCs/>
          <w:color w:val="373737"/>
        </w:rPr>
      </w:pPr>
    </w:p>
    <w:p w14:paraId="55E76B73" w14:textId="77777777" w:rsidR="0021423D" w:rsidRDefault="0021423D">
      <w:pPr>
        <w:spacing w:after="160"/>
        <w:jc w:val="center"/>
      </w:pPr>
    </w:p>
    <w:sectPr w:rsidR="0021423D" w:rsidSect="00A070B5">
      <w:headerReference w:type="default" r:id="rId15"/>
      <w:pgSz w:w="12240" w:h="15840"/>
      <w:pgMar w:top="1440" w:right="1440" w:bottom="113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1054" w14:textId="77777777" w:rsidR="00A910DF" w:rsidRDefault="00A910DF">
      <w:pPr>
        <w:spacing w:line="240" w:lineRule="auto"/>
      </w:pPr>
      <w:r>
        <w:separator/>
      </w:r>
    </w:p>
  </w:endnote>
  <w:endnote w:type="continuationSeparator" w:id="0">
    <w:p w14:paraId="2600333D" w14:textId="77777777" w:rsidR="00A910DF" w:rsidRDefault="00A9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C056" w14:textId="77777777" w:rsidR="00A910DF" w:rsidRDefault="00A910DF">
      <w:pPr>
        <w:spacing w:line="240" w:lineRule="auto"/>
      </w:pPr>
      <w:r>
        <w:separator/>
      </w:r>
    </w:p>
  </w:footnote>
  <w:footnote w:type="continuationSeparator" w:id="0">
    <w:p w14:paraId="7C2FE61A" w14:textId="77777777" w:rsidR="00A910DF" w:rsidRDefault="00A9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3EB4" w14:textId="630BC45A" w:rsidR="0021423D" w:rsidRDefault="00A070B5">
    <w:pPr>
      <w:spacing w:line="240" w:lineRule="auto"/>
      <w:jc w:val="center"/>
    </w:pPr>
    <w:r>
      <w:rPr>
        <w:noProof/>
      </w:rPr>
      <w:t xml:space="preserve">   </w:t>
    </w:r>
    <w:r>
      <w:rPr>
        <w:noProof/>
      </w:rPr>
      <w:drawing>
        <wp:inline distT="0" distB="0" distL="0" distR="0" wp14:anchorId="291D6C2D" wp14:editId="68CBD529">
          <wp:extent cx="1695450" cy="6562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247" cy="661990"/>
                  </a:xfrm>
                  <a:prstGeom prst="rect">
                    <a:avLst/>
                  </a:prstGeom>
                  <a:noFill/>
                  <a:ln>
                    <a:noFill/>
                  </a:ln>
                </pic:spPr>
              </pic:pic>
            </a:graphicData>
          </a:graphic>
        </wp:inline>
      </w:drawing>
    </w:r>
    <w:r>
      <w:rPr>
        <w:noProof/>
      </w:rPr>
      <w:t xml:space="preserve">          </w:t>
    </w:r>
    <w:r>
      <w:rPr>
        <w:noProof/>
      </w:rPr>
      <w:drawing>
        <wp:inline distT="0" distB="0" distL="0" distR="0" wp14:anchorId="3D650F5E" wp14:editId="42CB564D">
          <wp:extent cx="1422400" cy="7484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48430"/>
                  </a:xfrm>
                  <a:prstGeom prst="rect">
                    <a:avLst/>
                  </a:prstGeom>
                  <a:noFill/>
                  <a:ln>
                    <a:noFill/>
                  </a:ln>
                </pic:spPr>
              </pic:pic>
            </a:graphicData>
          </a:graphic>
        </wp:inline>
      </w:drawing>
    </w:r>
    <w:r>
      <w:rPr>
        <w:rFonts w:ascii="Arial" w:hAnsi="Arial" w:cs="Arial"/>
        <w:b/>
        <w:bCs/>
        <w:noProof/>
        <w:color w:val="1B365E"/>
        <w:sz w:val="20"/>
        <w:szCs w:val="20"/>
      </w:rPr>
      <w:t xml:space="preserve">         </w:t>
    </w:r>
    <w:r>
      <w:rPr>
        <w:rFonts w:ascii="Arial" w:hAnsi="Arial" w:cs="Arial"/>
        <w:b/>
        <w:bCs/>
        <w:noProof/>
        <w:color w:val="1B365E"/>
        <w:sz w:val="20"/>
        <w:szCs w:val="20"/>
      </w:rPr>
      <w:drawing>
        <wp:inline distT="0" distB="0" distL="0" distR="0" wp14:anchorId="6D41A7A5" wp14:editId="0AC96153">
          <wp:extent cx="1871631" cy="546100"/>
          <wp:effectExtent l="0" t="0" r="0" b="0"/>
          <wp:docPr id="9" name="Image 9" descr="Logo_Stellantis_Signature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tellantis_Signature_RGB-0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95588" cy="553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1423D"/>
    <w:rsid w:val="000C79CB"/>
    <w:rsid w:val="001508DF"/>
    <w:rsid w:val="001E6641"/>
    <w:rsid w:val="00211A5C"/>
    <w:rsid w:val="0021423D"/>
    <w:rsid w:val="00573106"/>
    <w:rsid w:val="00794280"/>
    <w:rsid w:val="00803FA8"/>
    <w:rsid w:val="00A070B5"/>
    <w:rsid w:val="00A910DF"/>
    <w:rsid w:val="00B257D7"/>
    <w:rsid w:val="00C96E53"/>
    <w:rsid w:val="00D4704B"/>
    <w:rsid w:val="00F45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CA91C"/>
  <w15:docId w15:val="{5EAB6441-FF35-4C39-9660-5390B8F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A070B5"/>
    <w:pPr>
      <w:tabs>
        <w:tab w:val="center" w:pos="4536"/>
        <w:tab w:val="right" w:pos="9072"/>
      </w:tabs>
      <w:spacing w:line="240" w:lineRule="auto"/>
    </w:pPr>
  </w:style>
  <w:style w:type="character" w:customStyle="1" w:styleId="HeaderChar">
    <w:name w:val="Header Char"/>
    <w:basedOn w:val="DefaultParagraphFont"/>
    <w:link w:val="Header"/>
    <w:uiPriority w:val="99"/>
    <w:rsid w:val="00A070B5"/>
    <w:rPr>
      <w:rFonts w:ascii="Calibri" w:eastAsia="Calibri" w:hAnsi="Calibri" w:cs="Calibri"/>
      <w:sz w:val="22"/>
      <w:szCs w:val="22"/>
    </w:rPr>
  </w:style>
  <w:style w:type="paragraph" w:styleId="Footer">
    <w:name w:val="footer"/>
    <w:basedOn w:val="Normal"/>
    <w:link w:val="FooterChar"/>
    <w:uiPriority w:val="99"/>
    <w:unhideWhenUsed/>
    <w:rsid w:val="00A070B5"/>
    <w:pPr>
      <w:tabs>
        <w:tab w:val="center" w:pos="4536"/>
        <w:tab w:val="right" w:pos="9072"/>
      </w:tabs>
      <w:spacing w:line="240" w:lineRule="auto"/>
    </w:pPr>
  </w:style>
  <w:style w:type="character" w:customStyle="1" w:styleId="FooterChar">
    <w:name w:val="Footer Char"/>
    <w:basedOn w:val="DefaultParagraphFont"/>
    <w:link w:val="Footer"/>
    <w:uiPriority w:val="99"/>
    <w:rsid w:val="00A070B5"/>
    <w:rPr>
      <w:rFonts w:ascii="Calibri" w:eastAsia="Calibri" w:hAnsi="Calibri" w:cs="Calibri"/>
      <w:sz w:val="22"/>
      <w:szCs w:val="22"/>
    </w:rPr>
  </w:style>
  <w:style w:type="character" w:styleId="Hyperlink">
    <w:name w:val="Hyperlink"/>
    <w:basedOn w:val="DefaultParagraphFont"/>
    <w:uiPriority w:val="99"/>
    <w:unhideWhenUsed/>
    <w:rsid w:val="00F45956"/>
    <w:rPr>
      <w:color w:val="0000FF" w:themeColor="hyperlink"/>
      <w:u w:val="single"/>
    </w:rPr>
  </w:style>
  <w:style w:type="character" w:styleId="UnresolvedMention">
    <w:name w:val="Unresolved Mention"/>
    <w:basedOn w:val="DefaultParagraphFont"/>
    <w:uiPriority w:val="99"/>
    <w:semiHidden/>
    <w:unhideWhenUsed/>
    <w:rsid w:val="00C9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hyperlink" Target="mailto:christophe.malbranque@forvia.com" TargetMode="External"/><Relationship Id="rId3" Type="http://schemas.openxmlformats.org/officeDocument/2006/relationships/webSettings" Target="webSettings.xml"/><Relationship Id="rId7" Type="http://schemas.openxmlformats.org/officeDocument/2006/relationships/hyperlink" Target="https://www.stellantis.com/en/investors/events/strategic-plan" TargetMode="External"/><Relationship Id="rId12" Type="http://schemas.openxmlformats.org/officeDocument/2006/relationships/hyperlink" Target="http://www.stellanti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ymbio.one/en/" TargetMode="External"/><Relationship Id="rId11" Type="http://schemas.openxmlformats.org/officeDocument/2006/relationships/hyperlink" Target="mailto:fernao.silveira@stellantis.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michelin.com" TargetMode="External"/><Relationship Id="rId4" Type="http://schemas.openxmlformats.org/officeDocument/2006/relationships/footnotes" Target="footnotes.xml"/><Relationship Id="rId9" Type="http://schemas.openxmlformats.org/officeDocument/2006/relationships/hyperlink" Target="http://www.forvia.com" TargetMode="External"/><Relationship Id="rId14" Type="http://schemas.openxmlformats.org/officeDocument/2006/relationships/hyperlink" Target="mailto:marc.maillet@forv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915F3.B19C0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ANGELA CATALDI</cp:lastModifiedBy>
  <cp:revision>4</cp:revision>
  <dcterms:created xsi:type="dcterms:W3CDTF">2022-12-22T19:42:00Z</dcterms:created>
  <dcterms:modified xsi:type="dcterms:W3CDTF">2022-12-22T20:34:00Z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2022-12-22T17:06:56Z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6ad52b6e-d425-4d39-ba6d-1184abbf9ad0</vt:lpwstr>
  </property>
  <property fmtid="{D5CDD505-2E9C-101B-9397-08002B2CF9AE}" pid="8" name="MSIP_Label_09e9a456-2778-4ca9-be06-1190b1e1118a_ContentBits">
    <vt:lpwstr>0</vt:lpwstr>
  </property>
</Properties>
</file>